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DC3E" w14:textId="77777777" w:rsidR="006E2AA1" w:rsidRDefault="00D731ED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027C262C" w14:textId="77777777" w:rsidR="006E2AA1" w:rsidRDefault="00D731ED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6FD10BD2" w14:textId="77777777" w:rsidR="006E2AA1" w:rsidRDefault="00D731ED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41BF6D14" w14:textId="77777777" w:rsidR="006E2AA1" w:rsidRDefault="00D73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7C8777F" w14:textId="77777777" w:rsidR="006E2AA1" w:rsidRDefault="00D73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09D3E2C" w14:textId="77777777" w:rsidR="006E2AA1" w:rsidRDefault="00D73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33F41CBA" w14:textId="77777777">
        <w:tc>
          <w:tcPr>
            <w:tcW w:w="9212" w:type="dxa"/>
            <w:shd w:val="clear" w:color="auto" w:fill="D9D9D9"/>
          </w:tcPr>
          <w:p w14:paraId="7B66DB33" w14:textId="77777777" w:rsidR="006E2AA1" w:rsidRDefault="00D731ED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36FEE64F" w14:textId="77777777" w:rsidR="006E2AA1" w:rsidRDefault="00D731ED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14F92802" w14:textId="77777777">
        <w:tc>
          <w:tcPr>
            <w:tcW w:w="9212" w:type="dxa"/>
            <w:shd w:val="clear" w:color="auto" w:fill="D9D9D9"/>
          </w:tcPr>
          <w:p w14:paraId="6BD63D43" w14:textId="77777777" w:rsidR="006E2AA1" w:rsidRDefault="00D731E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35808129" w14:textId="77777777" w:rsidR="006E2AA1" w:rsidRDefault="00D731ED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613EFFFA" w14:textId="77777777">
        <w:tc>
          <w:tcPr>
            <w:tcW w:w="9212" w:type="dxa"/>
            <w:shd w:val="clear" w:color="auto" w:fill="D9D9D9"/>
          </w:tcPr>
          <w:p w14:paraId="1DE7D0B9" w14:textId="77777777" w:rsidR="006E2AA1" w:rsidRDefault="00D731ED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8EF118E" w14:textId="77777777" w:rsidR="006E2AA1" w:rsidRDefault="00D731ED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16815878" w14:textId="77777777" w:rsidR="006E2AA1" w:rsidRDefault="00D731ED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6E2AA1" w14:paraId="557006CE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ABF0" w14:textId="77777777" w:rsidR="006E2AA1" w:rsidRDefault="00D731E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45C1E6FA" w14:textId="77777777" w:rsidR="006E2AA1" w:rsidRDefault="006E2AA1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78F625C9" w14:textId="77777777">
        <w:tc>
          <w:tcPr>
            <w:tcW w:w="9212" w:type="dxa"/>
            <w:shd w:val="clear" w:color="auto" w:fill="D9D9D9"/>
          </w:tcPr>
          <w:p w14:paraId="3AC6CC01" w14:textId="77777777" w:rsidR="006E2AA1" w:rsidRDefault="00D73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778D0B44" w14:textId="77777777" w:rsidR="006E2AA1" w:rsidRDefault="00D73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6149A6A" w14:textId="77777777" w:rsidR="006E2AA1" w:rsidRDefault="006E2AA1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2765FFA1" w14:textId="77777777">
        <w:tc>
          <w:tcPr>
            <w:tcW w:w="9212" w:type="dxa"/>
            <w:shd w:val="clear" w:color="auto" w:fill="D9D9D9"/>
          </w:tcPr>
          <w:p w14:paraId="2F749ADE" w14:textId="77777777" w:rsidR="006E2AA1" w:rsidRDefault="00D731ED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0F0C9A2F" w14:textId="77777777" w:rsidR="006E2AA1" w:rsidRDefault="006E2AA1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183B69E" w14:textId="77777777" w:rsidR="006E2AA1" w:rsidRDefault="00D731ED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6501B86B" w14:textId="77777777" w:rsidR="006E2AA1" w:rsidRDefault="00D731ED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0E0CC5CE" w14:textId="77777777" w:rsidR="006E2AA1" w:rsidRPr="001673F4" w:rsidRDefault="00D73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1B0D16A7" w14:textId="77777777" w:rsidR="006E2AA1" w:rsidRDefault="00D731ED">
      <w:pPr>
        <w:spacing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</w:pPr>
      <w:r w:rsidRPr="001673F4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1673F4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przeniesienie decyzji o pozwoleniu na wznowienie robót budowlanych</w:t>
      </w:r>
    </w:p>
    <w:p w14:paraId="2D582042" w14:textId="77777777" w:rsidR="00146166" w:rsidRPr="006A6A94" w:rsidRDefault="00146166" w:rsidP="0014616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8DA5354" w14:textId="77777777" w:rsidR="00146166" w:rsidRPr="006A6A94" w:rsidRDefault="00146166" w:rsidP="00146166">
      <w:pPr>
        <w:numPr>
          <w:ilvl w:val="1"/>
          <w:numId w:val="3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6A6A94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6A6A94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5ABB7EB4" w14:textId="77777777" w:rsidR="00146166" w:rsidRDefault="00146166" w:rsidP="00146166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65F89A47" w14:textId="0678C167" w:rsidR="00146166" w:rsidRDefault="00146166" w:rsidP="00146166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 wnioskiem </w:t>
      </w:r>
      <w:r>
        <w:rPr>
          <w:rFonts w:ascii="Times New Roman" w:eastAsia="Times New Roman" w:hAnsi="Times New Roman" w:cs="Times New Roman"/>
          <w:sz w:val="20"/>
          <w:szCs w:val="20"/>
        </w:rPr>
        <w:t>o przeniesieni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decyzji </w:t>
      </w:r>
      <w:r w:rsidRPr="00851920">
        <w:rPr>
          <w:rFonts w:ascii="Times New Roman" w:eastAsia="Times New Roman" w:hAnsi="Times New Roman" w:cs="Times New Roman"/>
          <w:sz w:val="20"/>
          <w:szCs w:val="20"/>
        </w:rPr>
        <w:t>o pozwolen</w:t>
      </w:r>
      <w:r>
        <w:rPr>
          <w:rFonts w:ascii="Times New Roman" w:eastAsia="Times New Roman" w:hAnsi="Times New Roman" w:cs="Times New Roman"/>
          <w:sz w:val="20"/>
          <w:szCs w:val="20"/>
        </w:rPr>
        <w:t>iu</w:t>
      </w:r>
      <w:r w:rsidRPr="00851920">
        <w:rPr>
          <w:rFonts w:ascii="Times New Roman" w:eastAsia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eastAsia="Times New Roman" w:hAnsi="Times New Roman" w:cs="Times New Roman"/>
          <w:sz w:val="20"/>
          <w:szCs w:val="20"/>
        </w:rPr>
        <w:t>wznowienie robót</w:t>
      </w:r>
      <w:r w:rsidRPr="0085192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tj. gdyż jest to niezbędne do wypełnienia obowiązku prawnego ciążącego na Administratorze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 (art. 6 ust. 1 lit. c RODO) w związku z art. 28 i nast. ustawy z dnia 7 lipca 1994 r. Prawo budowlane (t.j. Dz. U. z 2025 r. poz. 418 z późn. zm.).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0D437C4C" w14:textId="77777777" w:rsidR="00146166" w:rsidRDefault="00146166" w:rsidP="00146166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bookmarkStart w:id="2" w:name="_Hlk179971889"/>
      <w:r w:rsidRPr="00851920">
        <w:rPr>
          <w:rFonts w:ascii="Times New Roman" w:eastAsia="Times New Roman" w:hAnsi="Times New Roman" w:cs="Times New Roman"/>
          <w:b/>
          <w:bCs/>
          <w:sz w:val="19"/>
          <w:szCs w:val="19"/>
        </w:rPr>
        <w:t>10 lat (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z zastosowaniem art. 38 ust. 2 ustawy Prawo budowlane). </w:t>
      </w: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  <w:bookmarkEnd w:id="2"/>
    </w:p>
    <w:p w14:paraId="710435AA" w14:textId="77777777" w:rsidR="00146166" w:rsidRDefault="00146166" w:rsidP="00146166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498BB497" w14:textId="77777777" w:rsidR="00146166" w:rsidRDefault="00146166" w:rsidP="00146166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0F9BEC2F" w14:textId="77777777" w:rsidR="00146166" w:rsidRPr="00851920" w:rsidRDefault="00146166" w:rsidP="00146166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6BC08D0E" w14:textId="77777777" w:rsidR="00146166" w:rsidRPr="0085572A" w:rsidRDefault="00146166" w:rsidP="0014616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4F044F3" w14:textId="77777777" w:rsidR="00146166" w:rsidRPr="0085572A" w:rsidRDefault="00146166" w:rsidP="0014616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209209A7" w14:textId="77777777" w:rsidR="00146166" w:rsidRPr="0085572A" w:rsidRDefault="00146166" w:rsidP="0014616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1D890A4F" w14:textId="77777777" w:rsidR="00146166" w:rsidRPr="0085572A" w:rsidRDefault="00146166" w:rsidP="0014616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2D5D4CD8" w14:textId="77777777" w:rsidR="00146166" w:rsidRPr="0085572A" w:rsidRDefault="00146166" w:rsidP="0014616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6F59D3A1" w14:textId="77777777" w:rsidR="00146166" w:rsidRPr="0085572A" w:rsidRDefault="00146166" w:rsidP="0014616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6418CD88" w14:textId="77777777" w:rsidR="00146166" w:rsidRPr="0085572A" w:rsidRDefault="00146166" w:rsidP="00146166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2691D8F6" w14:textId="77777777" w:rsidR="00146166" w:rsidRPr="0085572A" w:rsidRDefault="00146166" w:rsidP="00146166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bookmarkStart w:id="3" w:name="_Hlk7432589"/>
      <w:bookmarkEnd w:id="3"/>
      <w:r w:rsidRPr="0085572A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443D2730" w14:textId="77777777" w:rsidR="00146166" w:rsidRPr="001407F5" w:rsidRDefault="00146166" w:rsidP="00146166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>Zgoda</w:t>
      </w:r>
    </w:p>
    <w:p w14:paraId="791543C3" w14:textId="77777777" w:rsidR="00146166" w:rsidRPr="001407F5" w:rsidRDefault="00146166" w:rsidP="00146166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146166" w:rsidRPr="001407F5" w14:paraId="2831E73A" w14:textId="77777777" w:rsidTr="006B432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D57C30" w14:textId="77777777" w:rsidR="00146166" w:rsidRPr="001407F5" w:rsidRDefault="00146166" w:rsidP="006B4327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bookmarkStart w:id="4" w:name="Bookmark"/>
            <w:bookmarkEnd w:id="4"/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5" w:name="__Fieldmark__274_2829778771"/>
            <w:bookmarkEnd w:id="5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0A0A16" w14:textId="77777777" w:rsidR="00146166" w:rsidRPr="001407F5" w:rsidRDefault="00146166" w:rsidP="006B4327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6" w:name="__Fieldmark__278_2829778771"/>
            <w:bookmarkStart w:id="7" w:name="Bookmark_kopia_1"/>
            <w:bookmarkEnd w:id="6"/>
            <w:bookmarkEnd w:id="7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1D807204" w14:textId="77777777" w:rsidR="00146166" w:rsidRPr="001407F5" w:rsidRDefault="00146166" w:rsidP="00146166">
      <w:pPr>
        <w:pStyle w:val="ng-scope"/>
        <w:spacing w:before="280" w:after="280"/>
        <w:jc w:val="both"/>
        <w:rPr>
          <w:sz w:val="20"/>
          <w:szCs w:val="20"/>
        </w:rPr>
      </w:pPr>
    </w:p>
    <w:p w14:paraId="50CB9676" w14:textId="674BE927" w:rsidR="00146166" w:rsidRPr="00146166" w:rsidRDefault="00146166" w:rsidP="00146166">
      <w:pPr>
        <w:pStyle w:val="ng-scope"/>
        <w:spacing w:before="280" w:after="280"/>
        <w:jc w:val="both"/>
      </w:pPr>
      <w:r w:rsidRPr="001407F5">
        <w:rPr>
          <w:sz w:val="20"/>
          <w:szCs w:val="20"/>
        </w:rPr>
        <w:t>PODPIS .…………………………………</w:t>
      </w:r>
    </w:p>
    <w:sectPr w:rsidR="00146166" w:rsidRPr="00146166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9A99" w14:textId="77777777" w:rsidR="00D731ED" w:rsidRDefault="00D731ED">
      <w:pPr>
        <w:spacing w:after="0" w:line="240" w:lineRule="auto"/>
      </w:pPr>
      <w:r>
        <w:separator/>
      </w:r>
    </w:p>
  </w:endnote>
  <w:endnote w:type="continuationSeparator" w:id="0">
    <w:p w14:paraId="3D2FA6CB" w14:textId="77777777" w:rsidR="00D731ED" w:rsidRDefault="00D7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0E85" w14:textId="77777777" w:rsidR="006E2AA1" w:rsidRDefault="00D731ED">
      <w:pPr>
        <w:rPr>
          <w:sz w:val="12"/>
        </w:rPr>
      </w:pPr>
      <w:r>
        <w:separator/>
      </w:r>
    </w:p>
  </w:footnote>
  <w:footnote w:type="continuationSeparator" w:id="0">
    <w:p w14:paraId="4D97CE72" w14:textId="77777777" w:rsidR="006E2AA1" w:rsidRDefault="00D731ED">
      <w:pPr>
        <w:rPr>
          <w:sz w:val="12"/>
        </w:rPr>
      </w:pPr>
      <w:r>
        <w:continuationSeparator/>
      </w:r>
    </w:p>
  </w:footnote>
  <w:footnote w:id="1">
    <w:p w14:paraId="1A802264" w14:textId="77777777" w:rsidR="006E2AA1" w:rsidRDefault="00D73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40B4236E" w14:textId="77777777" w:rsidR="006E2AA1" w:rsidRDefault="00D73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59C00947" w14:textId="77777777" w:rsidR="006E2AA1" w:rsidRDefault="00D73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D7D"/>
    <w:multiLevelType w:val="multilevel"/>
    <w:tmpl w:val="8EBC35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601456"/>
    <w:multiLevelType w:val="multilevel"/>
    <w:tmpl w:val="B18837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274EA8"/>
    <w:multiLevelType w:val="multilevel"/>
    <w:tmpl w:val="82E4F5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602DDB"/>
    <w:multiLevelType w:val="multilevel"/>
    <w:tmpl w:val="E05A62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AA7351D"/>
    <w:multiLevelType w:val="multilevel"/>
    <w:tmpl w:val="8AFEA7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C41263"/>
    <w:multiLevelType w:val="multilevel"/>
    <w:tmpl w:val="22B4B7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4A7771"/>
    <w:multiLevelType w:val="multilevel"/>
    <w:tmpl w:val="DDCA25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94066C7"/>
    <w:multiLevelType w:val="multilevel"/>
    <w:tmpl w:val="4E3835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DC24444"/>
    <w:multiLevelType w:val="multilevel"/>
    <w:tmpl w:val="44467F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557F2000"/>
    <w:multiLevelType w:val="multilevel"/>
    <w:tmpl w:val="CE540F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89D444D"/>
    <w:multiLevelType w:val="multilevel"/>
    <w:tmpl w:val="0CC4FA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FC605C5"/>
    <w:multiLevelType w:val="multilevel"/>
    <w:tmpl w:val="F454E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C8F0649"/>
    <w:multiLevelType w:val="multilevel"/>
    <w:tmpl w:val="B39602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6440FA"/>
    <w:multiLevelType w:val="multilevel"/>
    <w:tmpl w:val="0E9CE7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9725205"/>
    <w:multiLevelType w:val="multilevel"/>
    <w:tmpl w:val="8018BD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A5678CB"/>
    <w:multiLevelType w:val="multilevel"/>
    <w:tmpl w:val="905EF3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0295171">
    <w:abstractNumId w:val="2"/>
  </w:num>
  <w:num w:numId="2" w16cid:durableId="1338532834">
    <w:abstractNumId w:val="7"/>
  </w:num>
  <w:num w:numId="3" w16cid:durableId="523641858">
    <w:abstractNumId w:val="8"/>
  </w:num>
  <w:num w:numId="4" w16cid:durableId="253711077">
    <w:abstractNumId w:val="17"/>
  </w:num>
  <w:num w:numId="5" w16cid:durableId="1149594365">
    <w:abstractNumId w:val="0"/>
  </w:num>
  <w:num w:numId="6" w16cid:durableId="312298745">
    <w:abstractNumId w:val="16"/>
  </w:num>
  <w:num w:numId="7" w16cid:durableId="8027832">
    <w:abstractNumId w:val="13"/>
  </w:num>
  <w:num w:numId="8" w16cid:durableId="1930772661">
    <w:abstractNumId w:val="6"/>
  </w:num>
  <w:num w:numId="9" w16cid:durableId="1720978280">
    <w:abstractNumId w:val="10"/>
  </w:num>
  <w:num w:numId="10" w16cid:durableId="356976784">
    <w:abstractNumId w:val="5"/>
  </w:num>
  <w:num w:numId="11" w16cid:durableId="332807129">
    <w:abstractNumId w:val="11"/>
  </w:num>
  <w:num w:numId="12" w16cid:durableId="2128237157">
    <w:abstractNumId w:val="4"/>
  </w:num>
  <w:num w:numId="13" w16cid:durableId="413868262">
    <w:abstractNumId w:val="3"/>
  </w:num>
  <w:num w:numId="14" w16cid:durableId="1058168310">
    <w:abstractNumId w:val="1"/>
  </w:num>
  <w:num w:numId="15" w16cid:durableId="292949420">
    <w:abstractNumId w:val="12"/>
  </w:num>
  <w:num w:numId="16" w16cid:durableId="562762788">
    <w:abstractNumId w:val="2"/>
    <w:lvlOverride w:ilvl="0">
      <w:startOverride w:val="1"/>
    </w:lvlOverride>
    <w:lvlOverride w:ilvl="1">
      <w:startOverride w:val="1"/>
    </w:lvlOverride>
  </w:num>
  <w:num w:numId="17" w16cid:durableId="328141463">
    <w:abstractNumId w:val="2"/>
  </w:num>
  <w:num w:numId="18" w16cid:durableId="1439717751">
    <w:abstractNumId w:val="2"/>
  </w:num>
  <w:num w:numId="19" w16cid:durableId="1992518660">
    <w:abstractNumId w:val="2"/>
  </w:num>
  <w:num w:numId="20" w16cid:durableId="15927153">
    <w:abstractNumId w:val="2"/>
  </w:num>
  <w:num w:numId="21" w16cid:durableId="1670329665">
    <w:abstractNumId w:val="2"/>
  </w:num>
  <w:num w:numId="22" w16cid:durableId="1248537753">
    <w:abstractNumId w:val="2"/>
  </w:num>
  <w:num w:numId="23" w16cid:durableId="1714843885">
    <w:abstractNumId w:val="6"/>
    <w:lvlOverride w:ilvl="0">
      <w:startOverride w:val="1"/>
    </w:lvlOverride>
  </w:num>
  <w:num w:numId="24" w16cid:durableId="517502746">
    <w:abstractNumId w:val="6"/>
  </w:num>
  <w:num w:numId="25" w16cid:durableId="1579513556">
    <w:abstractNumId w:val="6"/>
  </w:num>
  <w:num w:numId="26" w16cid:durableId="1487283250">
    <w:abstractNumId w:val="6"/>
  </w:num>
  <w:num w:numId="27" w16cid:durableId="1837379292">
    <w:abstractNumId w:val="6"/>
  </w:num>
  <w:num w:numId="28" w16cid:durableId="7101067">
    <w:abstractNumId w:val="2"/>
  </w:num>
  <w:num w:numId="29" w16cid:durableId="268584708">
    <w:abstractNumId w:val="2"/>
  </w:num>
  <w:num w:numId="30" w16cid:durableId="547955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3912574">
    <w:abstractNumId w:val="15"/>
    <w:lvlOverride w:ilvl="0">
      <w:startOverride w:val="1"/>
    </w:lvlOverride>
    <w:lvlOverride w:ilvl="1">
      <w:startOverride w:val="1"/>
    </w:lvlOverride>
  </w:num>
  <w:num w:numId="32" w16cid:durableId="840237488">
    <w:abstractNumId w:val="15"/>
  </w:num>
  <w:num w:numId="33" w16cid:durableId="1968971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A855203-95B8-4FBF-BCBA-7D4C10F39B1D}"/>
  </w:docVars>
  <w:rsids>
    <w:rsidRoot w:val="006E2AA1"/>
    <w:rsid w:val="00146166"/>
    <w:rsid w:val="001673F4"/>
    <w:rsid w:val="00305D33"/>
    <w:rsid w:val="006B61DD"/>
    <w:rsid w:val="006E2AA1"/>
    <w:rsid w:val="00806B97"/>
    <w:rsid w:val="0091138C"/>
    <w:rsid w:val="00944154"/>
    <w:rsid w:val="00A509B7"/>
    <w:rsid w:val="00B6652A"/>
    <w:rsid w:val="00D731ED"/>
    <w:rsid w:val="00D97047"/>
    <w:rsid w:val="00EC76EC"/>
    <w:rsid w:val="00F051CC"/>
    <w:rsid w:val="00F8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EA13"/>
  <w15:docId w15:val="{9651D78E-CAC4-44FD-AC48-4D0D19A3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A855203-95B8-4FBF-BCBA-7D4C10F39B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1005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18</cp:revision>
  <dcterms:created xsi:type="dcterms:W3CDTF">2024-10-10T06:20:00Z</dcterms:created>
  <dcterms:modified xsi:type="dcterms:W3CDTF">2026-02-11T13:47:00Z</dcterms:modified>
  <dc:language>pl-PL</dc:language>
</cp:coreProperties>
</file>